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1AE" w:rsidRDefault="004701AE">
      <w:pPr>
        <w:rPr>
          <w:rFonts w:ascii="Arial" w:hAnsi="Arial" w:cs="Arial"/>
          <w:b/>
          <w:sz w:val="24"/>
          <w:szCs w:val="24"/>
        </w:rPr>
      </w:pPr>
      <w:r>
        <w:rPr>
          <w:rFonts w:ascii="Arial" w:hAnsi="Arial" w:cs="Arial"/>
          <w:b/>
          <w:sz w:val="24"/>
          <w:szCs w:val="24"/>
        </w:rPr>
        <w:t xml:space="preserve">M1 Schaubild zur ESVP </w:t>
      </w:r>
    </w:p>
    <w:p w:rsidR="004701AE" w:rsidRDefault="004701AE">
      <w:r>
        <w:rPr>
          <w:noProof/>
          <w:lang w:eastAsia="de-DE"/>
        </w:rPr>
        <w:drawing>
          <wp:anchor distT="0" distB="0" distL="114300" distR="114300" simplePos="0" relativeHeight="251658240" behindDoc="0" locked="0" layoutInCell="1" allowOverlap="1">
            <wp:simplePos x="0" y="0"/>
            <wp:positionH relativeFrom="margin">
              <wp:posOffset>-332105</wp:posOffset>
            </wp:positionH>
            <wp:positionV relativeFrom="margin">
              <wp:posOffset>624205</wp:posOffset>
            </wp:positionV>
            <wp:extent cx="6419850" cy="4602480"/>
            <wp:effectExtent l="1905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grayscl/>
                      <a:lum bright="-10000" contrast="20000"/>
                    </a:blip>
                    <a:srcRect/>
                    <a:stretch>
                      <a:fillRect/>
                    </a:stretch>
                  </pic:blipFill>
                  <pic:spPr bwMode="auto">
                    <a:xfrm>
                      <a:off x="0" y="0"/>
                      <a:ext cx="6419850" cy="4602480"/>
                    </a:xfrm>
                    <a:prstGeom prst="rect">
                      <a:avLst/>
                    </a:prstGeom>
                    <a:noFill/>
                    <a:ln w="9525">
                      <a:noFill/>
                      <a:miter lim="800000"/>
                      <a:headEnd/>
                      <a:tailEnd/>
                    </a:ln>
                  </pic:spPr>
                </pic:pic>
              </a:graphicData>
            </a:graphic>
          </wp:anchor>
        </w:drawing>
      </w:r>
      <w:hyperlink r:id="rId6" w:history="1">
        <w:r>
          <w:rPr>
            <w:rStyle w:val="Hyperlink"/>
          </w:rPr>
          <w:t>http://www.bpb.de/internationales/europa/europaeische-union/42923/grafik-esvp-strategie</w:t>
        </w:r>
      </w:hyperlink>
    </w:p>
    <w:p w:rsidR="004701AE" w:rsidRDefault="004701AE">
      <w:r>
        <w:t>abgerufen am 05.01.14</w:t>
      </w:r>
    </w:p>
    <w:p w:rsidR="004701AE" w:rsidRPr="004701AE" w:rsidRDefault="004701AE">
      <w:pPr>
        <w:rPr>
          <w:rFonts w:ascii="Arial" w:hAnsi="Arial" w:cs="Arial"/>
          <w:i/>
          <w:sz w:val="24"/>
          <w:szCs w:val="24"/>
        </w:rPr>
      </w:pPr>
    </w:p>
    <w:p w:rsidR="004701AE" w:rsidRPr="004701AE" w:rsidRDefault="004701AE">
      <w:pPr>
        <w:rPr>
          <w:rFonts w:ascii="Arial" w:hAnsi="Arial" w:cs="Arial"/>
          <w:b/>
          <w:sz w:val="24"/>
          <w:szCs w:val="24"/>
        </w:rPr>
      </w:pPr>
    </w:p>
    <w:p w:rsidR="00140249" w:rsidRDefault="004701AE">
      <w:pPr>
        <w:rPr>
          <w:rFonts w:ascii="Arial" w:hAnsi="Arial" w:cs="Arial"/>
          <w:b/>
          <w:sz w:val="24"/>
          <w:szCs w:val="24"/>
        </w:rPr>
      </w:pPr>
      <w:r>
        <w:rPr>
          <w:rFonts w:ascii="Arial" w:hAnsi="Arial" w:cs="Arial"/>
          <w:b/>
          <w:sz w:val="24"/>
          <w:szCs w:val="24"/>
        </w:rPr>
        <w:t>M2 Bestimmungen über die gemeinsame Sicherheits- und Verteidigungspolitik</w:t>
      </w:r>
    </w:p>
    <w:p w:rsidR="004701AE" w:rsidRDefault="004701AE">
      <w:pPr>
        <w:rPr>
          <w:rFonts w:ascii="Arial" w:hAnsi="Arial" w:cs="Arial"/>
          <w:b/>
          <w:sz w:val="24"/>
          <w:szCs w:val="24"/>
        </w:rPr>
      </w:pPr>
      <w:hyperlink r:id="rId7" w:history="1">
        <w:r>
          <w:rPr>
            <w:rStyle w:val="Hyperlink"/>
          </w:rPr>
          <w:t>http://dejure.org/gesetze/EU/44.html</w:t>
        </w:r>
      </w:hyperlink>
      <w:r>
        <w:t xml:space="preserve"> </w:t>
      </w:r>
      <w:r w:rsidRPr="004701AE">
        <w:rPr>
          <w:rFonts w:ascii="Arial" w:hAnsi="Arial" w:cs="Arial"/>
          <w:sz w:val="24"/>
          <w:szCs w:val="24"/>
        </w:rPr>
        <w:t>(abgerufen am: 05.01.14)</w:t>
      </w:r>
    </w:p>
    <w:p w:rsidR="004701AE" w:rsidRDefault="004701AE">
      <w:pPr>
        <w:rPr>
          <w:rFonts w:ascii="Arial" w:hAnsi="Arial" w:cs="Arial"/>
          <w:b/>
          <w:sz w:val="24"/>
          <w:szCs w:val="24"/>
        </w:rPr>
      </w:pPr>
    </w:p>
    <w:p w:rsidR="004701AE" w:rsidRDefault="004701AE">
      <w:pPr>
        <w:rPr>
          <w:rFonts w:ascii="Arial" w:hAnsi="Arial" w:cs="Arial"/>
          <w:sz w:val="24"/>
          <w:szCs w:val="24"/>
        </w:rPr>
      </w:pPr>
      <w:r>
        <w:rPr>
          <w:rFonts w:ascii="Arial" w:hAnsi="Arial" w:cs="Arial"/>
          <w:sz w:val="24"/>
          <w:szCs w:val="24"/>
        </w:rPr>
        <w:t>Auszug aus dem Vertrag der Europäischen Union:</w:t>
      </w:r>
    </w:p>
    <w:p w:rsidR="004701AE" w:rsidRDefault="004701AE">
      <w:pPr>
        <w:rPr>
          <w:rFonts w:ascii="Arial" w:hAnsi="Arial" w:cs="Arial"/>
          <w:sz w:val="24"/>
          <w:szCs w:val="24"/>
        </w:rPr>
      </w:pPr>
    </w:p>
    <w:p w:rsidR="004701AE" w:rsidRPr="004701AE" w:rsidRDefault="004701AE" w:rsidP="004701AE">
      <w:pPr>
        <w:rPr>
          <w:rFonts w:ascii="Arial" w:hAnsi="Arial" w:cs="Arial"/>
          <w:sz w:val="24"/>
          <w:szCs w:val="24"/>
        </w:rPr>
      </w:pPr>
      <w:r w:rsidRPr="004701AE">
        <w:rPr>
          <w:rFonts w:ascii="Arial" w:hAnsi="Arial" w:cs="Arial"/>
          <w:sz w:val="24"/>
          <w:szCs w:val="24"/>
        </w:rPr>
        <w:t>Artikel 42</w:t>
      </w:r>
    </w:p>
    <w:p w:rsidR="004701AE" w:rsidRPr="004701AE" w:rsidRDefault="004701AE" w:rsidP="004701AE">
      <w:pPr>
        <w:rPr>
          <w:rFonts w:ascii="Arial" w:hAnsi="Arial" w:cs="Arial"/>
          <w:sz w:val="24"/>
          <w:szCs w:val="24"/>
        </w:rPr>
      </w:pPr>
      <w:r w:rsidRPr="004701AE">
        <w:rPr>
          <w:rFonts w:ascii="Arial" w:hAnsi="Arial" w:cs="Arial"/>
          <w:sz w:val="24"/>
          <w:szCs w:val="24"/>
        </w:rPr>
        <w:t>(1) Die Gemeinsame Sicherheits- und Verteidigungspolitik ist integraler Bestandteil der Gemeinsamen Außen- und Sicherheitspolitik. Sie sichert der Union eine auf zivile und militärische Mittel gestützte Operationsfähigkeit. Auf diese kann die Union bei Missionen außerhalb der Union zur Friedenssicherung, Konfliktverhütung und Stärkung der internationalen Sicherheit in Übereinstimmung mit den Grundsätzen der Charta der Vereinten Nationen zurückgreifen. Sie erfüllt diese Aufgaben mit Hilfe der Fähigkeiten, die von den Mitgliedstaaten bereitgestellt werden.</w:t>
      </w:r>
    </w:p>
    <w:p w:rsidR="004701AE" w:rsidRPr="004701AE" w:rsidRDefault="004701AE" w:rsidP="004701AE">
      <w:pPr>
        <w:rPr>
          <w:rFonts w:ascii="Arial" w:hAnsi="Arial" w:cs="Arial"/>
          <w:sz w:val="24"/>
          <w:szCs w:val="24"/>
        </w:rPr>
      </w:pPr>
      <w:r w:rsidRPr="004701AE">
        <w:rPr>
          <w:rFonts w:ascii="Arial" w:hAnsi="Arial" w:cs="Arial"/>
          <w:sz w:val="24"/>
          <w:szCs w:val="24"/>
        </w:rPr>
        <w:t xml:space="preserve">(2) Die Gemeinsame Sicherheits- und Verteidigungspolitik umfasst die schrittweise Festlegung einer gemeinsamen Verteidigungspolitik der Union. Diese führt zu einer gemeinsamen Verteidigung, sobald der Europäische Rat dies einstimmig beschlossen hat. </w:t>
      </w:r>
      <w:r>
        <w:rPr>
          <w:rFonts w:ascii="Arial" w:hAnsi="Arial" w:cs="Arial"/>
          <w:sz w:val="24"/>
          <w:szCs w:val="24"/>
        </w:rPr>
        <w:t xml:space="preserve">[...] </w:t>
      </w:r>
      <w:r w:rsidRPr="004701AE">
        <w:rPr>
          <w:rFonts w:ascii="Arial" w:hAnsi="Arial" w:cs="Arial"/>
          <w:sz w:val="24"/>
          <w:szCs w:val="24"/>
        </w:rPr>
        <w:t xml:space="preserve">Die Politik der Union nach diesem Abschnitt berührt nicht den besonderen Charakter der Sicherheits- und Verteidigungspolitik bestimmter Mitgliedstaaten; sie achtet die Verpflichtungen einiger Mitgliedstaaten, die ihre </w:t>
      </w:r>
      <w:r w:rsidRPr="004701AE">
        <w:rPr>
          <w:rFonts w:ascii="Arial" w:hAnsi="Arial" w:cs="Arial"/>
          <w:sz w:val="24"/>
          <w:szCs w:val="24"/>
        </w:rPr>
        <w:lastRenderedPageBreak/>
        <w:t>gemeinsame Verteidigung in der Nordatlantikvertrags-Organisation (NATO) verwirklicht sehen, aus dem Nordatlantikvertrag und ist vereinbar mit der in jenem Rahmen festgelegten gemeinsamen Sicherheits- und Verteidigungspolitik.</w:t>
      </w:r>
    </w:p>
    <w:p w:rsidR="004701AE" w:rsidRPr="004701AE" w:rsidRDefault="004701AE" w:rsidP="004701AE">
      <w:pPr>
        <w:rPr>
          <w:rFonts w:ascii="Arial" w:hAnsi="Arial" w:cs="Arial"/>
          <w:sz w:val="24"/>
          <w:szCs w:val="24"/>
        </w:rPr>
      </w:pPr>
      <w:r w:rsidRPr="004701AE">
        <w:rPr>
          <w:rFonts w:ascii="Arial" w:hAnsi="Arial" w:cs="Arial"/>
          <w:sz w:val="24"/>
          <w:szCs w:val="24"/>
        </w:rPr>
        <w:t xml:space="preserve">(3) Die Mitgliedstaaten stellen der Union für die Umsetzung der Gemeinsamen Sicherheits- und Verteidigungspolitik zivile und militärische Fähigkeiten als Beitrag zur Verwirklichung der vom Rat festgelegten Ziele zur Verfügung. </w:t>
      </w:r>
      <w:r>
        <w:rPr>
          <w:rFonts w:ascii="Arial" w:hAnsi="Arial" w:cs="Arial"/>
          <w:sz w:val="24"/>
          <w:szCs w:val="24"/>
        </w:rPr>
        <w:t xml:space="preserve">[...] </w:t>
      </w:r>
      <w:r w:rsidRPr="004701AE">
        <w:rPr>
          <w:rFonts w:ascii="Arial" w:hAnsi="Arial" w:cs="Arial"/>
          <w:sz w:val="24"/>
          <w:szCs w:val="24"/>
        </w:rPr>
        <w:t>Die Mitgliedstaaten verpflichten sich, ihre militärischen Fähigkeiten schrittweise zu verbessern. Die Agentur für die Bereiche Entwicklung der Verteidigungsfähigkeiten, Forschung, Beschaffung und Rüstung (im Folgenden "Europäische Verteidigungsagentur") ermittelt den operativen Bedarf und fördert Maßnahmen zur Bedarfsdeckung</w:t>
      </w:r>
      <w:r>
        <w:rPr>
          <w:rFonts w:ascii="Arial" w:hAnsi="Arial" w:cs="Arial"/>
          <w:sz w:val="24"/>
          <w:szCs w:val="24"/>
        </w:rPr>
        <w:t xml:space="preserve"> [...].</w:t>
      </w:r>
    </w:p>
    <w:p w:rsidR="004701AE" w:rsidRDefault="004701AE" w:rsidP="004701AE">
      <w:pPr>
        <w:rPr>
          <w:rFonts w:ascii="Arial" w:hAnsi="Arial" w:cs="Arial"/>
          <w:sz w:val="24"/>
          <w:szCs w:val="24"/>
        </w:rPr>
      </w:pPr>
      <w:r w:rsidRPr="004701AE">
        <w:rPr>
          <w:rFonts w:ascii="Arial" w:hAnsi="Arial" w:cs="Arial"/>
          <w:sz w:val="24"/>
          <w:szCs w:val="24"/>
        </w:rPr>
        <w:t>(4) Beschlüsse zur Gemeinsamen Sicherheits- und Verteidigungspolitik, einschließlich der Beschlüsse über die Einleitung einer Mission nach diesem Artikel, werden vom Rat einstimmig auf Vorschlag des Hohen Vertreters der Union für Außen- und Sicherheitspolitik oder auf Initiative eines Mitgliedstaats erlassen. Der Hohe Vertreter kann gegebenenfalls gemeinsam mit der Kommission den Rückgriff auf einzelstaatliche Mittel sowie auf Instrumente der Union vorschlagen.</w:t>
      </w:r>
      <w:r>
        <w:rPr>
          <w:rFonts w:ascii="Arial" w:hAnsi="Arial" w:cs="Arial"/>
          <w:sz w:val="24"/>
          <w:szCs w:val="24"/>
        </w:rPr>
        <w:t xml:space="preserve"> [...]</w:t>
      </w:r>
    </w:p>
    <w:p w:rsidR="004701AE" w:rsidRPr="004701AE" w:rsidRDefault="004701AE" w:rsidP="004701AE">
      <w:pPr>
        <w:rPr>
          <w:rFonts w:ascii="Arial" w:hAnsi="Arial" w:cs="Arial"/>
          <w:sz w:val="24"/>
          <w:szCs w:val="24"/>
        </w:rPr>
      </w:pPr>
      <w:r w:rsidRPr="004701AE">
        <w:rPr>
          <w:rFonts w:ascii="Arial" w:hAnsi="Arial" w:cs="Arial"/>
          <w:sz w:val="24"/>
          <w:szCs w:val="24"/>
        </w:rPr>
        <w:t>(7) Im Falle eines bewaffneten Angriffs auf das Hoheitsgebiet eines Mitgliedstaats schulden die anderen Mitgliedstaaten ihm alle in ihrer Macht stehende Hilfe und Unterstützung, im Einklang mit Artikel 51 der Charta der Vereinten Nationen. Dies lässt den besonderen Charakter der Sicherheits- und Verteidigungspolitik bestimmter Mitgliedstaaten unberührt.</w:t>
      </w:r>
    </w:p>
    <w:p w:rsidR="004701AE" w:rsidRDefault="004701AE" w:rsidP="004701AE">
      <w:pPr>
        <w:rPr>
          <w:rFonts w:ascii="Arial" w:hAnsi="Arial" w:cs="Arial"/>
          <w:sz w:val="24"/>
          <w:szCs w:val="24"/>
        </w:rPr>
      </w:pPr>
    </w:p>
    <w:p w:rsidR="004701AE" w:rsidRPr="004701AE" w:rsidRDefault="004701AE" w:rsidP="004701AE">
      <w:pPr>
        <w:rPr>
          <w:rFonts w:ascii="Arial" w:hAnsi="Arial" w:cs="Arial"/>
          <w:sz w:val="24"/>
          <w:szCs w:val="24"/>
        </w:rPr>
      </w:pPr>
      <w:r>
        <w:rPr>
          <w:rFonts w:ascii="Arial" w:hAnsi="Arial" w:cs="Arial"/>
          <w:sz w:val="24"/>
          <w:szCs w:val="24"/>
        </w:rPr>
        <w:t>Artikel 43</w:t>
      </w:r>
    </w:p>
    <w:p w:rsidR="004701AE" w:rsidRPr="004701AE" w:rsidRDefault="004701AE" w:rsidP="004701AE">
      <w:pPr>
        <w:rPr>
          <w:rFonts w:ascii="Arial" w:hAnsi="Arial" w:cs="Arial"/>
          <w:sz w:val="24"/>
          <w:szCs w:val="24"/>
        </w:rPr>
      </w:pPr>
      <w:r w:rsidRPr="004701AE">
        <w:rPr>
          <w:rFonts w:ascii="Arial" w:hAnsi="Arial" w:cs="Arial"/>
          <w:sz w:val="24"/>
          <w:szCs w:val="24"/>
        </w:rPr>
        <w:t>(1) Die in Artikel 42 Absatz 1 vorgesehenen Missionen, bei deren Durchführung die Union auf zivile und militärische Mittel zurückgreifen kann, umfassen gemeinsame Abrüstungsmaßnahmen, humanitäre Aufgaben und Rettungseinsätze, Aufgaben der militärischen Beratung und Unterstützung, Aufgaben der Konfliktverhütung und der Erhaltung des Friedens sowie Kampfeinsätze im Rahmen der Krisenbewältigung einschließlich Frieden schaffender Maßnahmen und Operationen zur Stabilisierung der Lage nach Konflikten. Mit allen diesen Missionen kann zur Bekämpfung des Terrorismus beigetragen werden, unter anderem auch durch die Unterstützung für Drittländer bei der Bekämpfung des Terrorismus in ihrem Hoheitsgebiet.</w:t>
      </w:r>
    </w:p>
    <w:p w:rsidR="004701AE" w:rsidRPr="004701AE" w:rsidRDefault="004701AE" w:rsidP="004701AE">
      <w:pPr>
        <w:rPr>
          <w:rFonts w:ascii="Arial" w:hAnsi="Arial" w:cs="Arial"/>
          <w:sz w:val="24"/>
          <w:szCs w:val="24"/>
        </w:rPr>
      </w:pPr>
      <w:r w:rsidRPr="004701AE">
        <w:rPr>
          <w:rFonts w:ascii="Arial" w:hAnsi="Arial" w:cs="Arial"/>
          <w:sz w:val="24"/>
          <w:szCs w:val="24"/>
        </w:rPr>
        <w:t>(2) Der Rat erlässt die Beschlüsse über Missionen nach Absatz 1; in den Beschlüssen sind Ziel und Umfang der Missionen sowie die für sie geltenden allgemeinen Durchführungsbestimmungen festgelegt. Der Hohe Vertreter der Union für Außen- und Sicherheitspolitik sorgt unter Aufsicht des Rates und in engem und ständigem Benehmen mit dem Politischen und Sicherheitspolitischen Komitee für die Koordinierung der zivilen und militärischen Aspekte dieser Missionen.</w:t>
      </w:r>
    </w:p>
    <w:p w:rsidR="004701AE" w:rsidRDefault="004701AE" w:rsidP="004701AE">
      <w:pPr>
        <w:rPr>
          <w:rFonts w:ascii="Arial" w:hAnsi="Arial" w:cs="Arial"/>
          <w:sz w:val="24"/>
          <w:szCs w:val="24"/>
        </w:rPr>
      </w:pPr>
    </w:p>
    <w:p w:rsidR="004701AE" w:rsidRPr="004701AE" w:rsidRDefault="004701AE" w:rsidP="004701AE">
      <w:pPr>
        <w:rPr>
          <w:rFonts w:ascii="Arial" w:hAnsi="Arial" w:cs="Arial"/>
          <w:sz w:val="24"/>
          <w:szCs w:val="24"/>
        </w:rPr>
      </w:pPr>
      <w:r>
        <w:rPr>
          <w:rFonts w:ascii="Arial" w:hAnsi="Arial" w:cs="Arial"/>
          <w:sz w:val="24"/>
          <w:szCs w:val="24"/>
        </w:rPr>
        <w:t>Artikel 44</w:t>
      </w:r>
    </w:p>
    <w:p w:rsidR="004701AE" w:rsidRPr="004701AE" w:rsidRDefault="004701AE" w:rsidP="004701AE">
      <w:pPr>
        <w:rPr>
          <w:rFonts w:ascii="Arial" w:hAnsi="Arial" w:cs="Arial"/>
          <w:sz w:val="24"/>
          <w:szCs w:val="24"/>
        </w:rPr>
      </w:pPr>
      <w:r w:rsidRPr="004701AE">
        <w:rPr>
          <w:rFonts w:ascii="Arial" w:hAnsi="Arial" w:cs="Arial"/>
          <w:sz w:val="24"/>
          <w:szCs w:val="24"/>
        </w:rPr>
        <w:t>(1) Im Rahmen der nach Artikel 43 erlassenen Beschlüsse kann der Rat die Durchführung einer Mission einer Gruppe von Mitgliedstaaten übertragen, die dies wünschen und über die für eine derartige Mission erforderlichen Fähigkeiten verfügen. Die betreffenden Mitgliedstaaten vereinbaren in Absprache mit dem Hohen Vertreter der Union für Außen- und Sicherheitspolitik untereinander die Ausführung der Mission.</w:t>
      </w:r>
    </w:p>
    <w:p w:rsidR="004701AE" w:rsidRDefault="004701AE" w:rsidP="004701AE">
      <w:pPr>
        <w:rPr>
          <w:rFonts w:ascii="Arial" w:hAnsi="Arial" w:cs="Arial"/>
          <w:sz w:val="24"/>
          <w:szCs w:val="24"/>
        </w:rPr>
      </w:pPr>
      <w:r w:rsidRPr="004701AE">
        <w:rPr>
          <w:rFonts w:ascii="Arial" w:hAnsi="Arial" w:cs="Arial"/>
          <w:sz w:val="24"/>
          <w:szCs w:val="24"/>
        </w:rPr>
        <w:t xml:space="preserve">(2) Die an der Durchführung der Mission teilnehmenden Mitgliedstaaten unterrichten den Rat von sich aus oder auf Antrag eines anderen Mitgliedstaats regelmäßig über den Stand der Mission. Die teilnehmenden Mitgliedstaaten befassen den Rat sofort, wenn sich aus der Durchführung der Mission schwerwiegende Konsequenzen </w:t>
      </w:r>
      <w:r w:rsidRPr="004701AE">
        <w:rPr>
          <w:rFonts w:ascii="Arial" w:hAnsi="Arial" w:cs="Arial"/>
          <w:sz w:val="24"/>
          <w:szCs w:val="24"/>
        </w:rPr>
        <w:lastRenderedPageBreak/>
        <w:t>ergeben oder das Ziel der Mission, ihr Umfang oder die für sie geltenden Regelungen, wie sie in den in Absatz 1 genannten Beschlüssen festgelegt sind, geändert werden müssen. Der Rat erlässt in diesen Fällen die erforderlichen Beschlüsse.</w:t>
      </w:r>
    </w:p>
    <w:p w:rsidR="004701AE" w:rsidRDefault="004701AE" w:rsidP="004701AE">
      <w:pPr>
        <w:rPr>
          <w:rFonts w:ascii="Arial" w:hAnsi="Arial" w:cs="Arial"/>
          <w:sz w:val="24"/>
          <w:szCs w:val="24"/>
        </w:rPr>
      </w:pPr>
    </w:p>
    <w:p w:rsidR="004701AE" w:rsidRDefault="004701AE" w:rsidP="004701AE">
      <w:pPr>
        <w:rPr>
          <w:rFonts w:ascii="Arial" w:hAnsi="Arial" w:cs="Arial"/>
          <w:b/>
          <w:sz w:val="24"/>
          <w:szCs w:val="24"/>
        </w:rPr>
      </w:pPr>
      <w:r>
        <w:rPr>
          <w:rFonts w:ascii="Arial" w:hAnsi="Arial" w:cs="Arial"/>
          <w:b/>
          <w:noProof/>
          <w:sz w:val="24"/>
          <w:szCs w:val="24"/>
          <w:lang w:eastAsia="de-DE"/>
        </w:rPr>
        <w:drawing>
          <wp:anchor distT="0" distB="0" distL="114300" distR="114300" simplePos="0" relativeHeight="251659264" behindDoc="0" locked="0" layoutInCell="1" allowOverlap="1">
            <wp:simplePos x="0" y="0"/>
            <wp:positionH relativeFrom="margin">
              <wp:posOffset>-240665</wp:posOffset>
            </wp:positionH>
            <wp:positionV relativeFrom="margin">
              <wp:posOffset>1530985</wp:posOffset>
            </wp:positionV>
            <wp:extent cx="6336030" cy="4815840"/>
            <wp:effectExtent l="19050" t="0" r="7620" b="0"/>
            <wp:wrapSquare wrapText="bothSides"/>
            <wp:docPr id="4" name="Bild 4" descr="Gemeinsame Außen- und Sicherheitspolitik (GASP). Strukturen der G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insame Außen- und Sicherheitspolitik (GASP). Strukturen der GASP"/>
                    <pic:cNvPicPr>
                      <a:picLocks noChangeAspect="1" noChangeArrowheads="1"/>
                    </pic:cNvPicPr>
                  </pic:nvPicPr>
                  <pic:blipFill>
                    <a:blip r:embed="rId8" cstate="print">
                      <a:grayscl/>
                      <a:lum bright="-10000" contrast="30000"/>
                    </a:blip>
                    <a:srcRect/>
                    <a:stretch>
                      <a:fillRect/>
                    </a:stretch>
                  </pic:blipFill>
                  <pic:spPr bwMode="auto">
                    <a:xfrm>
                      <a:off x="0" y="0"/>
                      <a:ext cx="6336030" cy="4815840"/>
                    </a:xfrm>
                    <a:prstGeom prst="rect">
                      <a:avLst/>
                    </a:prstGeom>
                    <a:noFill/>
                    <a:ln w="9525">
                      <a:noFill/>
                      <a:miter lim="800000"/>
                      <a:headEnd/>
                      <a:tailEnd/>
                    </a:ln>
                  </pic:spPr>
                </pic:pic>
              </a:graphicData>
            </a:graphic>
          </wp:anchor>
        </w:drawing>
      </w:r>
      <w:r>
        <w:rPr>
          <w:rFonts w:ascii="Arial" w:hAnsi="Arial" w:cs="Arial"/>
          <w:b/>
          <w:sz w:val="24"/>
          <w:szCs w:val="24"/>
        </w:rPr>
        <w:t>M3</w:t>
      </w:r>
      <w:r>
        <w:rPr>
          <w:rFonts w:ascii="Arial" w:hAnsi="Arial" w:cs="Arial"/>
          <w:b/>
          <w:sz w:val="24"/>
          <w:szCs w:val="24"/>
        </w:rPr>
        <w:tab/>
        <w:t>Gemeinsame Außen- und Sicherheitspolitik</w:t>
      </w:r>
    </w:p>
    <w:p w:rsidR="004701AE" w:rsidRPr="004701AE" w:rsidRDefault="004701AE" w:rsidP="004701AE">
      <w:pPr>
        <w:rPr>
          <w:rFonts w:ascii="Arial" w:hAnsi="Arial" w:cs="Arial"/>
          <w:i/>
          <w:sz w:val="24"/>
          <w:szCs w:val="24"/>
        </w:rPr>
      </w:pPr>
      <w:r>
        <w:rPr>
          <w:rFonts w:ascii="Arial" w:hAnsi="Arial" w:cs="Arial"/>
          <w:i/>
          <w:sz w:val="24"/>
          <w:szCs w:val="24"/>
        </w:rPr>
        <w:t xml:space="preserve">Quelle: </w:t>
      </w:r>
      <w:hyperlink r:id="rId9" w:history="1">
        <w:r>
          <w:rPr>
            <w:rStyle w:val="Hyperlink"/>
          </w:rPr>
          <w:t>http://www.bpb.de/internationales/europa/europaeische-union/42920/grafik-gasp-strukturen</w:t>
        </w:r>
      </w:hyperlink>
      <w:r>
        <w:t xml:space="preserve"> </w:t>
      </w:r>
      <w:r w:rsidRPr="004701AE">
        <w:rPr>
          <w:sz w:val="24"/>
          <w:szCs w:val="24"/>
        </w:rPr>
        <w:t>(abgerufen am: 05.01.14)</w:t>
      </w:r>
    </w:p>
    <w:p w:rsidR="004701AE" w:rsidRDefault="004701AE" w:rsidP="004701AE">
      <w:pPr>
        <w:rPr>
          <w:rFonts w:ascii="Arial" w:hAnsi="Arial" w:cs="Arial"/>
          <w:sz w:val="24"/>
          <w:szCs w:val="24"/>
        </w:rPr>
      </w:pPr>
    </w:p>
    <w:p w:rsidR="004701AE" w:rsidRPr="004701AE" w:rsidRDefault="004701AE" w:rsidP="004701AE">
      <w:pPr>
        <w:rPr>
          <w:rFonts w:ascii="Arial" w:hAnsi="Arial" w:cs="Arial"/>
          <w:sz w:val="24"/>
          <w:szCs w:val="24"/>
        </w:rPr>
      </w:pPr>
    </w:p>
    <w:sectPr w:rsidR="004701AE" w:rsidRPr="004701AE" w:rsidSect="0014024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701AE"/>
    <w:rsid w:val="00004131"/>
    <w:rsid w:val="0000603C"/>
    <w:rsid w:val="00006500"/>
    <w:rsid w:val="00010052"/>
    <w:rsid w:val="0001140C"/>
    <w:rsid w:val="00012BA1"/>
    <w:rsid w:val="0001445C"/>
    <w:rsid w:val="000157F4"/>
    <w:rsid w:val="00016088"/>
    <w:rsid w:val="00020830"/>
    <w:rsid w:val="00020D88"/>
    <w:rsid w:val="00032137"/>
    <w:rsid w:val="000323FC"/>
    <w:rsid w:val="00033373"/>
    <w:rsid w:val="00037AB4"/>
    <w:rsid w:val="000433D2"/>
    <w:rsid w:val="0004391D"/>
    <w:rsid w:val="00046EC7"/>
    <w:rsid w:val="000471B9"/>
    <w:rsid w:val="00054E14"/>
    <w:rsid w:val="0005634E"/>
    <w:rsid w:val="00056692"/>
    <w:rsid w:val="0005770A"/>
    <w:rsid w:val="0006001E"/>
    <w:rsid w:val="00061800"/>
    <w:rsid w:val="00061972"/>
    <w:rsid w:val="000655F7"/>
    <w:rsid w:val="000703E6"/>
    <w:rsid w:val="000736E1"/>
    <w:rsid w:val="000801EB"/>
    <w:rsid w:val="00080666"/>
    <w:rsid w:val="00081342"/>
    <w:rsid w:val="000814F8"/>
    <w:rsid w:val="00084DF8"/>
    <w:rsid w:val="00095C4C"/>
    <w:rsid w:val="00096248"/>
    <w:rsid w:val="00096957"/>
    <w:rsid w:val="000A078E"/>
    <w:rsid w:val="000A5B27"/>
    <w:rsid w:val="000B19C5"/>
    <w:rsid w:val="000B1E1C"/>
    <w:rsid w:val="000B4EEE"/>
    <w:rsid w:val="000B54B8"/>
    <w:rsid w:val="000C4711"/>
    <w:rsid w:val="000D42B0"/>
    <w:rsid w:val="000D750E"/>
    <w:rsid w:val="000D7EF4"/>
    <w:rsid w:val="000E1F99"/>
    <w:rsid w:val="000E3CC7"/>
    <w:rsid w:val="000E4A45"/>
    <w:rsid w:val="000E5BD1"/>
    <w:rsid w:val="000F1881"/>
    <w:rsid w:val="000F3C05"/>
    <w:rsid w:val="000F53FE"/>
    <w:rsid w:val="000F75A9"/>
    <w:rsid w:val="00100166"/>
    <w:rsid w:val="00100477"/>
    <w:rsid w:val="0010129B"/>
    <w:rsid w:val="00101865"/>
    <w:rsid w:val="00107BFA"/>
    <w:rsid w:val="001111A0"/>
    <w:rsid w:val="001112A0"/>
    <w:rsid w:val="00113002"/>
    <w:rsid w:val="00115889"/>
    <w:rsid w:val="00115BB8"/>
    <w:rsid w:val="00131137"/>
    <w:rsid w:val="00135519"/>
    <w:rsid w:val="00135DDC"/>
    <w:rsid w:val="00140249"/>
    <w:rsid w:val="001435A4"/>
    <w:rsid w:val="00143BB1"/>
    <w:rsid w:val="00153633"/>
    <w:rsid w:val="00155C18"/>
    <w:rsid w:val="00155DE5"/>
    <w:rsid w:val="00156EC3"/>
    <w:rsid w:val="001612F9"/>
    <w:rsid w:val="001617F7"/>
    <w:rsid w:val="00164F0D"/>
    <w:rsid w:val="00170C35"/>
    <w:rsid w:val="0017286F"/>
    <w:rsid w:val="00175DB8"/>
    <w:rsid w:val="00181F6B"/>
    <w:rsid w:val="00191FC8"/>
    <w:rsid w:val="00195EE6"/>
    <w:rsid w:val="001978C7"/>
    <w:rsid w:val="001A5ABC"/>
    <w:rsid w:val="001A5B58"/>
    <w:rsid w:val="001A5BAF"/>
    <w:rsid w:val="001B5D5F"/>
    <w:rsid w:val="001C0778"/>
    <w:rsid w:val="001C2CD1"/>
    <w:rsid w:val="001C31DF"/>
    <w:rsid w:val="001C395D"/>
    <w:rsid w:val="001C682C"/>
    <w:rsid w:val="001C7231"/>
    <w:rsid w:val="001C7EC4"/>
    <w:rsid w:val="001D1506"/>
    <w:rsid w:val="001D3FD6"/>
    <w:rsid w:val="001D63C9"/>
    <w:rsid w:val="001D6D09"/>
    <w:rsid w:val="001E6C76"/>
    <w:rsid w:val="001F5F2B"/>
    <w:rsid w:val="001F6E5F"/>
    <w:rsid w:val="00204421"/>
    <w:rsid w:val="00213D56"/>
    <w:rsid w:val="00214F76"/>
    <w:rsid w:val="00220C34"/>
    <w:rsid w:val="00226B12"/>
    <w:rsid w:val="002320E0"/>
    <w:rsid w:val="002340E9"/>
    <w:rsid w:val="00235719"/>
    <w:rsid w:val="00241B5D"/>
    <w:rsid w:val="0024393A"/>
    <w:rsid w:val="00253281"/>
    <w:rsid w:val="00262825"/>
    <w:rsid w:val="0026362F"/>
    <w:rsid w:val="00267161"/>
    <w:rsid w:val="00271AC8"/>
    <w:rsid w:val="00273611"/>
    <w:rsid w:val="00273A9A"/>
    <w:rsid w:val="0028000E"/>
    <w:rsid w:val="0028060F"/>
    <w:rsid w:val="0028714F"/>
    <w:rsid w:val="00291E5F"/>
    <w:rsid w:val="00291FFA"/>
    <w:rsid w:val="00293F9F"/>
    <w:rsid w:val="00294ABA"/>
    <w:rsid w:val="00296F25"/>
    <w:rsid w:val="002A1D19"/>
    <w:rsid w:val="002A2B4E"/>
    <w:rsid w:val="002A335A"/>
    <w:rsid w:val="002A5EB4"/>
    <w:rsid w:val="002B1294"/>
    <w:rsid w:val="002B1603"/>
    <w:rsid w:val="002B3C18"/>
    <w:rsid w:val="002B4DCC"/>
    <w:rsid w:val="002B673E"/>
    <w:rsid w:val="002C359D"/>
    <w:rsid w:val="002C67CC"/>
    <w:rsid w:val="002D0BC4"/>
    <w:rsid w:val="002D2C5C"/>
    <w:rsid w:val="002D300C"/>
    <w:rsid w:val="002D3A0E"/>
    <w:rsid w:val="002E2F78"/>
    <w:rsid w:val="002E4FF3"/>
    <w:rsid w:val="002E63E3"/>
    <w:rsid w:val="002E78DE"/>
    <w:rsid w:val="002F588F"/>
    <w:rsid w:val="00300820"/>
    <w:rsid w:val="00300CAA"/>
    <w:rsid w:val="00301460"/>
    <w:rsid w:val="00303AA9"/>
    <w:rsid w:val="00305430"/>
    <w:rsid w:val="00306680"/>
    <w:rsid w:val="0030717B"/>
    <w:rsid w:val="00311AFD"/>
    <w:rsid w:val="0031335B"/>
    <w:rsid w:val="003164C1"/>
    <w:rsid w:val="00316B49"/>
    <w:rsid w:val="00316FE7"/>
    <w:rsid w:val="00322AAA"/>
    <w:rsid w:val="00323CBD"/>
    <w:rsid w:val="00325664"/>
    <w:rsid w:val="0033469E"/>
    <w:rsid w:val="0033599C"/>
    <w:rsid w:val="00343535"/>
    <w:rsid w:val="00350044"/>
    <w:rsid w:val="003517DA"/>
    <w:rsid w:val="00352C8E"/>
    <w:rsid w:val="0036140E"/>
    <w:rsid w:val="00365821"/>
    <w:rsid w:val="003669C1"/>
    <w:rsid w:val="003700EE"/>
    <w:rsid w:val="00375541"/>
    <w:rsid w:val="00376865"/>
    <w:rsid w:val="00377BBE"/>
    <w:rsid w:val="003848C7"/>
    <w:rsid w:val="00386C54"/>
    <w:rsid w:val="00387CFB"/>
    <w:rsid w:val="00393D5C"/>
    <w:rsid w:val="00396453"/>
    <w:rsid w:val="003A26CE"/>
    <w:rsid w:val="003A420A"/>
    <w:rsid w:val="003A519F"/>
    <w:rsid w:val="003A6B12"/>
    <w:rsid w:val="003C0462"/>
    <w:rsid w:val="003C5A34"/>
    <w:rsid w:val="003D06CA"/>
    <w:rsid w:val="003D5F36"/>
    <w:rsid w:val="003D6F02"/>
    <w:rsid w:val="003D789A"/>
    <w:rsid w:val="003E2BDF"/>
    <w:rsid w:val="003E48F9"/>
    <w:rsid w:val="003E767D"/>
    <w:rsid w:val="003F0E58"/>
    <w:rsid w:val="003F128F"/>
    <w:rsid w:val="003F136D"/>
    <w:rsid w:val="003F1587"/>
    <w:rsid w:val="003F2FFD"/>
    <w:rsid w:val="003F699B"/>
    <w:rsid w:val="003F77E1"/>
    <w:rsid w:val="0040436A"/>
    <w:rsid w:val="0041087D"/>
    <w:rsid w:val="0041356D"/>
    <w:rsid w:val="00414E03"/>
    <w:rsid w:val="0041643C"/>
    <w:rsid w:val="0041727B"/>
    <w:rsid w:val="004201FE"/>
    <w:rsid w:val="004209E1"/>
    <w:rsid w:val="004228AF"/>
    <w:rsid w:val="004242E7"/>
    <w:rsid w:val="00427FD0"/>
    <w:rsid w:val="00431868"/>
    <w:rsid w:val="00434ECA"/>
    <w:rsid w:val="00440AC4"/>
    <w:rsid w:val="00440B11"/>
    <w:rsid w:val="00441CD7"/>
    <w:rsid w:val="0044390E"/>
    <w:rsid w:val="00444349"/>
    <w:rsid w:val="0044722B"/>
    <w:rsid w:val="004538E1"/>
    <w:rsid w:val="00453CC5"/>
    <w:rsid w:val="0045611F"/>
    <w:rsid w:val="0046360B"/>
    <w:rsid w:val="00464420"/>
    <w:rsid w:val="00464512"/>
    <w:rsid w:val="004654A6"/>
    <w:rsid w:val="00466BD8"/>
    <w:rsid w:val="00467310"/>
    <w:rsid w:val="00467E6A"/>
    <w:rsid w:val="004701AE"/>
    <w:rsid w:val="00472AFA"/>
    <w:rsid w:val="00474410"/>
    <w:rsid w:val="00474608"/>
    <w:rsid w:val="00480EB2"/>
    <w:rsid w:val="0048205F"/>
    <w:rsid w:val="00484276"/>
    <w:rsid w:val="00484F0B"/>
    <w:rsid w:val="004915AC"/>
    <w:rsid w:val="004A02F2"/>
    <w:rsid w:val="004A2854"/>
    <w:rsid w:val="004A74DD"/>
    <w:rsid w:val="004A75B5"/>
    <w:rsid w:val="004B1F12"/>
    <w:rsid w:val="004D198F"/>
    <w:rsid w:val="004D3C4F"/>
    <w:rsid w:val="004E3D78"/>
    <w:rsid w:val="004F0556"/>
    <w:rsid w:val="004F1953"/>
    <w:rsid w:val="004F21E6"/>
    <w:rsid w:val="004F3B1B"/>
    <w:rsid w:val="00502F7B"/>
    <w:rsid w:val="00503197"/>
    <w:rsid w:val="005032AF"/>
    <w:rsid w:val="005110DB"/>
    <w:rsid w:val="00522412"/>
    <w:rsid w:val="00527E1F"/>
    <w:rsid w:val="00532408"/>
    <w:rsid w:val="00533225"/>
    <w:rsid w:val="005376E3"/>
    <w:rsid w:val="00537E55"/>
    <w:rsid w:val="00541979"/>
    <w:rsid w:val="00545480"/>
    <w:rsid w:val="00545EC7"/>
    <w:rsid w:val="0054735E"/>
    <w:rsid w:val="00554ABB"/>
    <w:rsid w:val="005625DE"/>
    <w:rsid w:val="00564474"/>
    <w:rsid w:val="00566970"/>
    <w:rsid w:val="005670A8"/>
    <w:rsid w:val="00567EDC"/>
    <w:rsid w:val="0057766E"/>
    <w:rsid w:val="005811DB"/>
    <w:rsid w:val="005861C9"/>
    <w:rsid w:val="005863AA"/>
    <w:rsid w:val="00586D62"/>
    <w:rsid w:val="00591C85"/>
    <w:rsid w:val="00591CFD"/>
    <w:rsid w:val="0059693A"/>
    <w:rsid w:val="005A2075"/>
    <w:rsid w:val="005A7D20"/>
    <w:rsid w:val="005B16E9"/>
    <w:rsid w:val="005B26B7"/>
    <w:rsid w:val="005B2A22"/>
    <w:rsid w:val="005B4028"/>
    <w:rsid w:val="005C074C"/>
    <w:rsid w:val="005C2160"/>
    <w:rsid w:val="005C4B33"/>
    <w:rsid w:val="005C6C8F"/>
    <w:rsid w:val="005D4105"/>
    <w:rsid w:val="005D7DE2"/>
    <w:rsid w:val="005E14CC"/>
    <w:rsid w:val="005E37CA"/>
    <w:rsid w:val="005E4B4F"/>
    <w:rsid w:val="005E4C66"/>
    <w:rsid w:val="005E5671"/>
    <w:rsid w:val="005E5831"/>
    <w:rsid w:val="005E5876"/>
    <w:rsid w:val="005F11E0"/>
    <w:rsid w:val="005F27FF"/>
    <w:rsid w:val="005F44C3"/>
    <w:rsid w:val="0060566E"/>
    <w:rsid w:val="00606A95"/>
    <w:rsid w:val="00606FED"/>
    <w:rsid w:val="00611AFE"/>
    <w:rsid w:val="00613261"/>
    <w:rsid w:val="00613C92"/>
    <w:rsid w:val="00616064"/>
    <w:rsid w:val="00624642"/>
    <w:rsid w:val="006371F8"/>
    <w:rsid w:val="0064003E"/>
    <w:rsid w:val="0064085B"/>
    <w:rsid w:val="00641D36"/>
    <w:rsid w:val="006459E0"/>
    <w:rsid w:val="0064642B"/>
    <w:rsid w:val="00646A1B"/>
    <w:rsid w:val="00650525"/>
    <w:rsid w:val="00651343"/>
    <w:rsid w:val="00652969"/>
    <w:rsid w:val="00663625"/>
    <w:rsid w:val="00673396"/>
    <w:rsid w:val="00673ED5"/>
    <w:rsid w:val="00675B30"/>
    <w:rsid w:val="00680DC2"/>
    <w:rsid w:val="006812F0"/>
    <w:rsid w:val="0068156F"/>
    <w:rsid w:val="0068492A"/>
    <w:rsid w:val="006849DB"/>
    <w:rsid w:val="00690306"/>
    <w:rsid w:val="00694208"/>
    <w:rsid w:val="006A19E2"/>
    <w:rsid w:val="006A2912"/>
    <w:rsid w:val="006A2B83"/>
    <w:rsid w:val="006A4391"/>
    <w:rsid w:val="006A4D9D"/>
    <w:rsid w:val="006A4FA6"/>
    <w:rsid w:val="006A5211"/>
    <w:rsid w:val="006A5565"/>
    <w:rsid w:val="006A65E6"/>
    <w:rsid w:val="006A6FB8"/>
    <w:rsid w:val="006B0B62"/>
    <w:rsid w:val="006B2388"/>
    <w:rsid w:val="006D06E4"/>
    <w:rsid w:val="006E02D7"/>
    <w:rsid w:val="006E29B7"/>
    <w:rsid w:val="006E2D15"/>
    <w:rsid w:val="006E76A5"/>
    <w:rsid w:val="006F050F"/>
    <w:rsid w:val="007035CB"/>
    <w:rsid w:val="00704D2C"/>
    <w:rsid w:val="00706901"/>
    <w:rsid w:val="007069BF"/>
    <w:rsid w:val="007112E4"/>
    <w:rsid w:val="00714B48"/>
    <w:rsid w:val="00715D7D"/>
    <w:rsid w:val="0071702F"/>
    <w:rsid w:val="00722B5A"/>
    <w:rsid w:val="00731B9B"/>
    <w:rsid w:val="00736E26"/>
    <w:rsid w:val="007405C1"/>
    <w:rsid w:val="0074069F"/>
    <w:rsid w:val="0074276D"/>
    <w:rsid w:val="00743587"/>
    <w:rsid w:val="00743B1B"/>
    <w:rsid w:val="00744E57"/>
    <w:rsid w:val="00746AAC"/>
    <w:rsid w:val="007472EB"/>
    <w:rsid w:val="0075171A"/>
    <w:rsid w:val="00753107"/>
    <w:rsid w:val="00763BDD"/>
    <w:rsid w:val="00766EEB"/>
    <w:rsid w:val="0077003B"/>
    <w:rsid w:val="00772B9D"/>
    <w:rsid w:val="00776B22"/>
    <w:rsid w:val="00781253"/>
    <w:rsid w:val="00782FD8"/>
    <w:rsid w:val="007836B5"/>
    <w:rsid w:val="00785E54"/>
    <w:rsid w:val="007863FE"/>
    <w:rsid w:val="007905FE"/>
    <w:rsid w:val="00794FD9"/>
    <w:rsid w:val="007A24F3"/>
    <w:rsid w:val="007A2BDA"/>
    <w:rsid w:val="007A4A28"/>
    <w:rsid w:val="007A5CEA"/>
    <w:rsid w:val="007A7F9D"/>
    <w:rsid w:val="007B3BFE"/>
    <w:rsid w:val="007B5810"/>
    <w:rsid w:val="007B653B"/>
    <w:rsid w:val="007B7588"/>
    <w:rsid w:val="007C2D0A"/>
    <w:rsid w:val="007C7BE4"/>
    <w:rsid w:val="007D074A"/>
    <w:rsid w:val="007D1A68"/>
    <w:rsid w:val="007D2F36"/>
    <w:rsid w:val="007E0219"/>
    <w:rsid w:val="007F165C"/>
    <w:rsid w:val="007F1995"/>
    <w:rsid w:val="00812734"/>
    <w:rsid w:val="0081548D"/>
    <w:rsid w:val="0081642D"/>
    <w:rsid w:val="00821897"/>
    <w:rsid w:val="0082206A"/>
    <w:rsid w:val="0082369D"/>
    <w:rsid w:val="0082544E"/>
    <w:rsid w:val="00826E3D"/>
    <w:rsid w:val="00837C5C"/>
    <w:rsid w:val="00842053"/>
    <w:rsid w:val="0084476D"/>
    <w:rsid w:val="008449C0"/>
    <w:rsid w:val="008450DA"/>
    <w:rsid w:val="008462A5"/>
    <w:rsid w:val="0084774F"/>
    <w:rsid w:val="008563B9"/>
    <w:rsid w:val="00856B48"/>
    <w:rsid w:val="008604BB"/>
    <w:rsid w:val="00862E8B"/>
    <w:rsid w:val="00862F44"/>
    <w:rsid w:val="00864248"/>
    <w:rsid w:val="0086710A"/>
    <w:rsid w:val="0087025E"/>
    <w:rsid w:val="00872BB7"/>
    <w:rsid w:val="008752DA"/>
    <w:rsid w:val="0087650A"/>
    <w:rsid w:val="0087664D"/>
    <w:rsid w:val="00881878"/>
    <w:rsid w:val="008821DE"/>
    <w:rsid w:val="00883AB5"/>
    <w:rsid w:val="008947D1"/>
    <w:rsid w:val="00895B11"/>
    <w:rsid w:val="008A1C53"/>
    <w:rsid w:val="008A243B"/>
    <w:rsid w:val="008A322C"/>
    <w:rsid w:val="008A37A8"/>
    <w:rsid w:val="008A3A94"/>
    <w:rsid w:val="008A3BDB"/>
    <w:rsid w:val="008A3CD5"/>
    <w:rsid w:val="008A4EAB"/>
    <w:rsid w:val="008A55AB"/>
    <w:rsid w:val="008A6EC3"/>
    <w:rsid w:val="008A6F23"/>
    <w:rsid w:val="008B0D65"/>
    <w:rsid w:val="008B235B"/>
    <w:rsid w:val="008B3DEB"/>
    <w:rsid w:val="008B7CC5"/>
    <w:rsid w:val="008C09AA"/>
    <w:rsid w:val="008C2AC2"/>
    <w:rsid w:val="008D3640"/>
    <w:rsid w:val="008D5446"/>
    <w:rsid w:val="008D7252"/>
    <w:rsid w:val="008E258A"/>
    <w:rsid w:val="008E5660"/>
    <w:rsid w:val="008E5D76"/>
    <w:rsid w:val="008F1BEA"/>
    <w:rsid w:val="008F26D5"/>
    <w:rsid w:val="008F418A"/>
    <w:rsid w:val="008F4D30"/>
    <w:rsid w:val="00901D30"/>
    <w:rsid w:val="00903FC8"/>
    <w:rsid w:val="00906F8A"/>
    <w:rsid w:val="00910EF9"/>
    <w:rsid w:val="00911885"/>
    <w:rsid w:val="00916D30"/>
    <w:rsid w:val="0092227A"/>
    <w:rsid w:val="00923801"/>
    <w:rsid w:val="00935CB8"/>
    <w:rsid w:val="00937DA8"/>
    <w:rsid w:val="00942120"/>
    <w:rsid w:val="00942711"/>
    <w:rsid w:val="00943E63"/>
    <w:rsid w:val="00943E83"/>
    <w:rsid w:val="00945807"/>
    <w:rsid w:val="00947C4A"/>
    <w:rsid w:val="00957433"/>
    <w:rsid w:val="00960D3E"/>
    <w:rsid w:val="00964772"/>
    <w:rsid w:val="009665C3"/>
    <w:rsid w:val="00990F7D"/>
    <w:rsid w:val="00991EBB"/>
    <w:rsid w:val="00996B68"/>
    <w:rsid w:val="0099768F"/>
    <w:rsid w:val="009A1196"/>
    <w:rsid w:val="009A120E"/>
    <w:rsid w:val="009A40C1"/>
    <w:rsid w:val="009A4893"/>
    <w:rsid w:val="009A50C2"/>
    <w:rsid w:val="009B09F0"/>
    <w:rsid w:val="009B15AB"/>
    <w:rsid w:val="009B2F91"/>
    <w:rsid w:val="009B3E98"/>
    <w:rsid w:val="009B46E1"/>
    <w:rsid w:val="009C14F9"/>
    <w:rsid w:val="009C2162"/>
    <w:rsid w:val="009C2A54"/>
    <w:rsid w:val="009C60BB"/>
    <w:rsid w:val="009D07C6"/>
    <w:rsid w:val="009D09BE"/>
    <w:rsid w:val="009E0D1E"/>
    <w:rsid w:val="009E39C4"/>
    <w:rsid w:val="009E6153"/>
    <w:rsid w:val="009F5D8D"/>
    <w:rsid w:val="00A00232"/>
    <w:rsid w:val="00A041EE"/>
    <w:rsid w:val="00A10AED"/>
    <w:rsid w:val="00A12470"/>
    <w:rsid w:val="00A13A60"/>
    <w:rsid w:val="00A16AB0"/>
    <w:rsid w:val="00A17034"/>
    <w:rsid w:val="00A172A2"/>
    <w:rsid w:val="00A239C6"/>
    <w:rsid w:val="00A24913"/>
    <w:rsid w:val="00A250B0"/>
    <w:rsid w:val="00A30AAB"/>
    <w:rsid w:val="00A30B68"/>
    <w:rsid w:val="00A42054"/>
    <w:rsid w:val="00A4376E"/>
    <w:rsid w:val="00A523A7"/>
    <w:rsid w:val="00A559B0"/>
    <w:rsid w:val="00A60F29"/>
    <w:rsid w:val="00A654B2"/>
    <w:rsid w:val="00A667B0"/>
    <w:rsid w:val="00A741FB"/>
    <w:rsid w:val="00A74824"/>
    <w:rsid w:val="00A80333"/>
    <w:rsid w:val="00A81AE1"/>
    <w:rsid w:val="00AA11BB"/>
    <w:rsid w:val="00AA26E4"/>
    <w:rsid w:val="00AB0D7F"/>
    <w:rsid w:val="00AB31F7"/>
    <w:rsid w:val="00AB3EC8"/>
    <w:rsid w:val="00AB6943"/>
    <w:rsid w:val="00AB745C"/>
    <w:rsid w:val="00AC00F4"/>
    <w:rsid w:val="00AC3FB9"/>
    <w:rsid w:val="00AC3FF4"/>
    <w:rsid w:val="00AC7E96"/>
    <w:rsid w:val="00AF3B97"/>
    <w:rsid w:val="00AF42C3"/>
    <w:rsid w:val="00AF74FA"/>
    <w:rsid w:val="00B14E21"/>
    <w:rsid w:val="00B15F59"/>
    <w:rsid w:val="00B164AC"/>
    <w:rsid w:val="00B17204"/>
    <w:rsid w:val="00B20696"/>
    <w:rsid w:val="00B323AF"/>
    <w:rsid w:val="00B34708"/>
    <w:rsid w:val="00B362E9"/>
    <w:rsid w:val="00B418D9"/>
    <w:rsid w:val="00B435E3"/>
    <w:rsid w:val="00B45F34"/>
    <w:rsid w:val="00B4641E"/>
    <w:rsid w:val="00B5121B"/>
    <w:rsid w:val="00B535D3"/>
    <w:rsid w:val="00B54C68"/>
    <w:rsid w:val="00B553F2"/>
    <w:rsid w:val="00B55758"/>
    <w:rsid w:val="00B568E9"/>
    <w:rsid w:val="00B60C79"/>
    <w:rsid w:val="00B629DA"/>
    <w:rsid w:val="00B65EE3"/>
    <w:rsid w:val="00B71878"/>
    <w:rsid w:val="00B81B1D"/>
    <w:rsid w:val="00B83888"/>
    <w:rsid w:val="00B8408C"/>
    <w:rsid w:val="00B85C40"/>
    <w:rsid w:val="00B861A4"/>
    <w:rsid w:val="00B8656D"/>
    <w:rsid w:val="00B86BDB"/>
    <w:rsid w:val="00B86C33"/>
    <w:rsid w:val="00B91FDE"/>
    <w:rsid w:val="00B93263"/>
    <w:rsid w:val="00B934B2"/>
    <w:rsid w:val="00B942DD"/>
    <w:rsid w:val="00B96944"/>
    <w:rsid w:val="00BA5508"/>
    <w:rsid w:val="00BA721C"/>
    <w:rsid w:val="00BA78F5"/>
    <w:rsid w:val="00BB04B5"/>
    <w:rsid w:val="00BB1B95"/>
    <w:rsid w:val="00BB5E44"/>
    <w:rsid w:val="00BB6F87"/>
    <w:rsid w:val="00BC1160"/>
    <w:rsid w:val="00BC1B2E"/>
    <w:rsid w:val="00BC6A81"/>
    <w:rsid w:val="00BD046C"/>
    <w:rsid w:val="00BD068E"/>
    <w:rsid w:val="00BD3387"/>
    <w:rsid w:val="00BD78FD"/>
    <w:rsid w:val="00BE0099"/>
    <w:rsid w:val="00BE3008"/>
    <w:rsid w:val="00BE3DBC"/>
    <w:rsid w:val="00BE46D1"/>
    <w:rsid w:val="00BE472C"/>
    <w:rsid w:val="00BE4D2E"/>
    <w:rsid w:val="00BE7675"/>
    <w:rsid w:val="00BE7C30"/>
    <w:rsid w:val="00BF1145"/>
    <w:rsid w:val="00BF4B47"/>
    <w:rsid w:val="00BF507B"/>
    <w:rsid w:val="00BF6DCC"/>
    <w:rsid w:val="00C00514"/>
    <w:rsid w:val="00C0214D"/>
    <w:rsid w:val="00C05945"/>
    <w:rsid w:val="00C07C0F"/>
    <w:rsid w:val="00C12B4C"/>
    <w:rsid w:val="00C12C0E"/>
    <w:rsid w:val="00C20347"/>
    <w:rsid w:val="00C22AE0"/>
    <w:rsid w:val="00C24DB2"/>
    <w:rsid w:val="00C269C5"/>
    <w:rsid w:val="00C30973"/>
    <w:rsid w:val="00C31A14"/>
    <w:rsid w:val="00C324D2"/>
    <w:rsid w:val="00C40081"/>
    <w:rsid w:val="00C44ABA"/>
    <w:rsid w:val="00C51139"/>
    <w:rsid w:val="00C517B6"/>
    <w:rsid w:val="00C519BA"/>
    <w:rsid w:val="00C51DC7"/>
    <w:rsid w:val="00C55FF0"/>
    <w:rsid w:val="00C564FC"/>
    <w:rsid w:val="00C6650E"/>
    <w:rsid w:val="00C67E41"/>
    <w:rsid w:val="00C705FF"/>
    <w:rsid w:val="00C7317F"/>
    <w:rsid w:val="00C73FAC"/>
    <w:rsid w:val="00C75F39"/>
    <w:rsid w:val="00C76661"/>
    <w:rsid w:val="00C7666D"/>
    <w:rsid w:val="00C7696D"/>
    <w:rsid w:val="00C81CC5"/>
    <w:rsid w:val="00C82FC0"/>
    <w:rsid w:val="00C86076"/>
    <w:rsid w:val="00C86A44"/>
    <w:rsid w:val="00C931A9"/>
    <w:rsid w:val="00CA143D"/>
    <w:rsid w:val="00CA232D"/>
    <w:rsid w:val="00CA5D52"/>
    <w:rsid w:val="00CB4DFF"/>
    <w:rsid w:val="00CB61C8"/>
    <w:rsid w:val="00CC2EA0"/>
    <w:rsid w:val="00CC5595"/>
    <w:rsid w:val="00CD02BB"/>
    <w:rsid w:val="00CD1F7C"/>
    <w:rsid w:val="00CD5935"/>
    <w:rsid w:val="00CD6932"/>
    <w:rsid w:val="00CD7E77"/>
    <w:rsid w:val="00CE4F97"/>
    <w:rsid w:val="00CE5D2F"/>
    <w:rsid w:val="00CE63A4"/>
    <w:rsid w:val="00CE733D"/>
    <w:rsid w:val="00CF2DC7"/>
    <w:rsid w:val="00CF5702"/>
    <w:rsid w:val="00D01BDE"/>
    <w:rsid w:val="00D0246E"/>
    <w:rsid w:val="00D03E8D"/>
    <w:rsid w:val="00D04BA5"/>
    <w:rsid w:val="00D05986"/>
    <w:rsid w:val="00D066E2"/>
    <w:rsid w:val="00D13249"/>
    <w:rsid w:val="00D14F75"/>
    <w:rsid w:val="00D15696"/>
    <w:rsid w:val="00D16BAD"/>
    <w:rsid w:val="00D218D9"/>
    <w:rsid w:val="00D22D0B"/>
    <w:rsid w:val="00D33321"/>
    <w:rsid w:val="00D359AD"/>
    <w:rsid w:val="00D41501"/>
    <w:rsid w:val="00D4756A"/>
    <w:rsid w:val="00D50B54"/>
    <w:rsid w:val="00D51058"/>
    <w:rsid w:val="00D5178A"/>
    <w:rsid w:val="00D5281C"/>
    <w:rsid w:val="00D53D92"/>
    <w:rsid w:val="00D67821"/>
    <w:rsid w:val="00D73198"/>
    <w:rsid w:val="00D75AD2"/>
    <w:rsid w:val="00D7693F"/>
    <w:rsid w:val="00D81D2A"/>
    <w:rsid w:val="00D84211"/>
    <w:rsid w:val="00D91746"/>
    <w:rsid w:val="00D924F7"/>
    <w:rsid w:val="00D9409D"/>
    <w:rsid w:val="00D95117"/>
    <w:rsid w:val="00DA4CB5"/>
    <w:rsid w:val="00DB11D7"/>
    <w:rsid w:val="00DC3C44"/>
    <w:rsid w:val="00DC4FD1"/>
    <w:rsid w:val="00DC6AB2"/>
    <w:rsid w:val="00DD354B"/>
    <w:rsid w:val="00DD4BBC"/>
    <w:rsid w:val="00DD4D61"/>
    <w:rsid w:val="00DD68CA"/>
    <w:rsid w:val="00DD775A"/>
    <w:rsid w:val="00DD7F65"/>
    <w:rsid w:val="00DE2841"/>
    <w:rsid w:val="00DF4D59"/>
    <w:rsid w:val="00DF552B"/>
    <w:rsid w:val="00DF5538"/>
    <w:rsid w:val="00DF569A"/>
    <w:rsid w:val="00DF777D"/>
    <w:rsid w:val="00DF7B78"/>
    <w:rsid w:val="00E04FD3"/>
    <w:rsid w:val="00E10C19"/>
    <w:rsid w:val="00E12AE7"/>
    <w:rsid w:val="00E207D8"/>
    <w:rsid w:val="00E219FA"/>
    <w:rsid w:val="00E21BD6"/>
    <w:rsid w:val="00E21FED"/>
    <w:rsid w:val="00E22D6C"/>
    <w:rsid w:val="00E26B5E"/>
    <w:rsid w:val="00E34467"/>
    <w:rsid w:val="00E34568"/>
    <w:rsid w:val="00E35D31"/>
    <w:rsid w:val="00E363BB"/>
    <w:rsid w:val="00E368F9"/>
    <w:rsid w:val="00E41AD3"/>
    <w:rsid w:val="00E45767"/>
    <w:rsid w:val="00E46A13"/>
    <w:rsid w:val="00E5052A"/>
    <w:rsid w:val="00E51694"/>
    <w:rsid w:val="00E5267B"/>
    <w:rsid w:val="00E54D8F"/>
    <w:rsid w:val="00E55BF1"/>
    <w:rsid w:val="00E56787"/>
    <w:rsid w:val="00E56AC0"/>
    <w:rsid w:val="00E56E79"/>
    <w:rsid w:val="00E57A31"/>
    <w:rsid w:val="00E61BFA"/>
    <w:rsid w:val="00E65A32"/>
    <w:rsid w:val="00E66DD7"/>
    <w:rsid w:val="00E730AC"/>
    <w:rsid w:val="00E7506F"/>
    <w:rsid w:val="00E752F7"/>
    <w:rsid w:val="00E75FCB"/>
    <w:rsid w:val="00E81F07"/>
    <w:rsid w:val="00E865E7"/>
    <w:rsid w:val="00E90571"/>
    <w:rsid w:val="00E92818"/>
    <w:rsid w:val="00E96988"/>
    <w:rsid w:val="00EA322D"/>
    <w:rsid w:val="00EA3343"/>
    <w:rsid w:val="00EA36A8"/>
    <w:rsid w:val="00EA7827"/>
    <w:rsid w:val="00EB0D4B"/>
    <w:rsid w:val="00EC0222"/>
    <w:rsid w:val="00EC0BB5"/>
    <w:rsid w:val="00EC4E34"/>
    <w:rsid w:val="00ED0172"/>
    <w:rsid w:val="00ED147D"/>
    <w:rsid w:val="00EE19B5"/>
    <w:rsid w:val="00EE1AC0"/>
    <w:rsid w:val="00EE1CCE"/>
    <w:rsid w:val="00EE263D"/>
    <w:rsid w:val="00EE3DA6"/>
    <w:rsid w:val="00EE7389"/>
    <w:rsid w:val="00EF0BC6"/>
    <w:rsid w:val="00EF1D61"/>
    <w:rsid w:val="00EF2D18"/>
    <w:rsid w:val="00EF3040"/>
    <w:rsid w:val="00EF72F3"/>
    <w:rsid w:val="00F00F9F"/>
    <w:rsid w:val="00F10937"/>
    <w:rsid w:val="00F13D37"/>
    <w:rsid w:val="00F17769"/>
    <w:rsid w:val="00F270F7"/>
    <w:rsid w:val="00F36732"/>
    <w:rsid w:val="00F42354"/>
    <w:rsid w:val="00F47397"/>
    <w:rsid w:val="00F478A7"/>
    <w:rsid w:val="00F5214B"/>
    <w:rsid w:val="00F5516E"/>
    <w:rsid w:val="00F55287"/>
    <w:rsid w:val="00F5795E"/>
    <w:rsid w:val="00F60641"/>
    <w:rsid w:val="00F608D9"/>
    <w:rsid w:val="00F62524"/>
    <w:rsid w:val="00F67D3D"/>
    <w:rsid w:val="00F721E8"/>
    <w:rsid w:val="00F74D0A"/>
    <w:rsid w:val="00F75D34"/>
    <w:rsid w:val="00F83C1D"/>
    <w:rsid w:val="00F83D8C"/>
    <w:rsid w:val="00F84D63"/>
    <w:rsid w:val="00F8574B"/>
    <w:rsid w:val="00F860D5"/>
    <w:rsid w:val="00F86307"/>
    <w:rsid w:val="00F86960"/>
    <w:rsid w:val="00F9140C"/>
    <w:rsid w:val="00F92031"/>
    <w:rsid w:val="00F9326A"/>
    <w:rsid w:val="00F94362"/>
    <w:rsid w:val="00F966E9"/>
    <w:rsid w:val="00F967BB"/>
    <w:rsid w:val="00FA1128"/>
    <w:rsid w:val="00FA38DE"/>
    <w:rsid w:val="00FA4088"/>
    <w:rsid w:val="00FA53AA"/>
    <w:rsid w:val="00FA6D07"/>
    <w:rsid w:val="00FA6E6B"/>
    <w:rsid w:val="00FB2AFD"/>
    <w:rsid w:val="00FB4506"/>
    <w:rsid w:val="00FB52EA"/>
    <w:rsid w:val="00FB783A"/>
    <w:rsid w:val="00FC113B"/>
    <w:rsid w:val="00FC6BEE"/>
    <w:rsid w:val="00FC77E7"/>
    <w:rsid w:val="00FC7984"/>
    <w:rsid w:val="00FD0035"/>
    <w:rsid w:val="00FD069D"/>
    <w:rsid w:val="00FD277B"/>
    <w:rsid w:val="00FD37E5"/>
    <w:rsid w:val="00FD435E"/>
    <w:rsid w:val="00FD4CD0"/>
    <w:rsid w:val="00FD5B75"/>
    <w:rsid w:val="00FD6826"/>
    <w:rsid w:val="00FD68DB"/>
    <w:rsid w:val="00FE2D70"/>
    <w:rsid w:val="00FE41A6"/>
    <w:rsid w:val="00FE4C24"/>
    <w:rsid w:val="00FE6905"/>
    <w:rsid w:val="00FE796B"/>
    <w:rsid w:val="00FF00BE"/>
    <w:rsid w:val="00FF4DF1"/>
    <w:rsid w:val="00FF57E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024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4701AE"/>
    <w:rPr>
      <w:color w:val="0000FF"/>
      <w:u w:val="single"/>
    </w:rPr>
  </w:style>
</w:styles>
</file>

<file path=word/webSettings.xml><?xml version="1.0" encoding="utf-8"?>
<w:webSettings xmlns:r="http://schemas.openxmlformats.org/officeDocument/2006/relationships" xmlns:w="http://schemas.openxmlformats.org/wordprocessingml/2006/main">
  <w:divs>
    <w:div w:id="77289896">
      <w:bodyDiv w:val="1"/>
      <w:marLeft w:val="0"/>
      <w:marRight w:val="0"/>
      <w:marTop w:val="0"/>
      <w:marBottom w:val="0"/>
      <w:divBdr>
        <w:top w:val="none" w:sz="0" w:space="0" w:color="auto"/>
        <w:left w:val="none" w:sz="0" w:space="0" w:color="auto"/>
        <w:bottom w:val="none" w:sz="0" w:space="0" w:color="auto"/>
        <w:right w:val="none" w:sz="0" w:space="0" w:color="auto"/>
      </w:divBdr>
      <w:divsChild>
        <w:div w:id="2060738760">
          <w:marLeft w:val="0"/>
          <w:marRight w:val="0"/>
          <w:marTop w:val="180"/>
          <w:marBottom w:val="180"/>
          <w:divBdr>
            <w:top w:val="none" w:sz="0" w:space="0" w:color="auto"/>
            <w:left w:val="none" w:sz="0" w:space="0" w:color="auto"/>
            <w:bottom w:val="none" w:sz="0" w:space="0" w:color="auto"/>
            <w:right w:val="none" w:sz="0" w:space="0" w:color="auto"/>
          </w:divBdr>
        </w:div>
      </w:divsChild>
    </w:div>
    <w:div w:id="1042287246">
      <w:bodyDiv w:val="1"/>
      <w:marLeft w:val="0"/>
      <w:marRight w:val="0"/>
      <w:marTop w:val="0"/>
      <w:marBottom w:val="0"/>
      <w:divBdr>
        <w:top w:val="none" w:sz="0" w:space="0" w:color="auto"/>
        <w:left w:val="none" w:sz="0" w:space="0" w:color="auto"/>
        <w:bottom w:val="none" w:sz="0" w:space="0" w:color="auto"/>
        <w:right w:val="none" w:sz="0" w:space="0" w:color="auto"/>
      </w:divBdr>
      <w:divsChild>
        <w:div w:id="1578050631">
          <w:marLeft w:val="0"/>
          <w:marRight w:val="0"/>
          <w:marTop w:val="180"/>
          <w:marBottom w:val="180"/>
          <w:divBdr>
            <w:top w:val="none" w:sz="0" w:space="0" w:color="auto"/>
            <w:left w:val="none" w:sz="0" w:space="0" w:color="auto"/>
            <w:bottom w:val="none" w:sz="0" w:space="0" w:color="auto"/>
            <w:right w:val="none" w:sz="0" w:space="0" w:color="auto"/>
          </w:divBdr>
        </w:div>
      </w:divsChild>
    </w:div>
    <w:div w:id="1188759157">
      <w:bodyDiv w:val="1"/>
      <w:marLeft w:val="0"/>
      <w:marRight w:val="0"/>
      <w:marTop w:val="0"/>
      <w:marBottom w:val="0"/>
      <w:divBdr>
        <w:top w:val="none" w:sz="0" w:space="0" w:color="auto"/>
        <w:left w:val="none" w:sz="0" w:space="0" w:color="auto"/>
        <w:bottom w:val="none" w:sz="0" w:space="0" w:color="auto"/>
        <w:right w:val="none" w:sz="0" w:space="0" w:color="auto"/>
      </w:divBdr>
      <w:divsChild>
        <w:div w:id="287011132">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dejure.org/gesetze/EU/44.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pb.de/internationales/europa/europaeische-union/42923/grafik-esvp-strategi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pb.de/internationales/europa/europaeische-union/42920/grafik-gasp-strukture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FDF7B-8909-4839-8496-D6A8BD7C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4808</Characters>
  <Application>Microsoft Office Word</Application>
  <DocSecurity>0</DocSecurity>
  <Lines>40</Lines>
  <Paragraphs>11</Paragraphs>
  <ScaleCrop>false</ScaleCrop>
  <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Tatjana-Maria Großer</dc:creator>
  <cp:lastModifiedBy>Tatjana-Maria Großer</cp:lastModifiedBy>
  <cp:revision>1</cp:revision>
  <dcterms:created xsi:type="dcterms:W3CDTF">2014-01-07T16:30:00Z</dcterms:created>
  <dcterms:modified xsi:type="dcterms:W3CDTF">2014-01-07T16:54:00Z</dcterms:modified>
</cp:coreProperties>
</file>